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lang w:val="en-US" w:eastAsia="zh-CN"/>
        </w:rPr>
      </w:pPr>
      <w:r>
        <w:rPr>
          <w:rFonts w:hint="eastAsia" w:ascii="黑体" w:hAnsi="黑体" w:eastAsia="黑体" w:cs="黑体"/>
          <w:lang w:val="en-US" w:eastAsia="zh-CN"/>
        </w:rPr>
        <w:t>附件4</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“百佳示范”行动典型案例征集方案</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为总结推广农民专业合作社高质量发展先进经验，示范引领农民专业合作社因地制宜探索各自不同的发展模式，经研究确定，在全市开展农民专业合作社“百佳示范”行动，总结提炼先进合作社典型案例，在全市面上进行宣传推广，形成良好的示范带动效应。典型案例征集方案如下。</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目标任务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w:t>
      </w:r>
      <w:r>
        <w:rPr>
          <w:rFonts w:hint="eastAsia" w:ascii="仿宋_GB2312" w:hAnsi="仿宋_GB2312" w:cs="仿宋_GB2312"/>
          <w:sz w:val="32"/>
          <w:szCs w:val="32"/>
          <w:highlight w:val="none"/>
          <w:lang w:val="en-US" w:eastAsia="zh-CN"/>
        </w:rPr>
        <w:t>至2025年</w:t>
      </w:r>
      <w:r>
        <w:rPr>
          <w:rFonts w:hint="eastAsia" w:ascii="仿宋_GB2312" w:hAnsi="仿宋_GB2312" w:eastAsia="仿宋_GB2312" w:cs="仿宋_GB2312"/>
          <w:sz w:val="32"/>
          <w:szCs w:val="32"/>
          <w:highlight w:val="none"/>
          <w:lang w:val="en-US" w:eastAsia="zh-CN"/>
        </w:rPr>
        <w:t>，全市推介先进农民专业合作社典型案例100个。</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二、征集步骤</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（一）总结提炼</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各区市农业农村局根据当地农民专业合作社发展情况，围绕“粮食规模经营型”“品牌</w:t>
      </w:r>
      <w:r>
        <w:rPr>
          <w:rFonts w:hint="eastAsia" w:ascii="仿宋_GB2312" w:hAnsi="仿宋_GB2312" w:cs="仿宋_GB2312"/>
          <w:sz w:val="32"/>
          <w:szCs w:val="32"/>
          <w:highlight w:val="none"/>
          <w:lang w:val="en-US" w:eastAsia="zh-CN"/>
        </w:rPr>
        <w:t>农业</w:t>
      </w:r>
      <w:r>
        <w:rPr>
          <w:rFonts w:hint="eastAsia" w:ascii="仿宋_GB2312" w:hAnsi="仿宋_GB2312" w:eastAsia="仿宋_GB2312" w:cs="仿宋_GB2312"/>
          <w:sz w:val="32"/>
          <w:szCs w:val="32"/>
          <w:highlight w:val="none"/>
          <w:lang w:val="en-US" w:eastAsia="zh-CN"/>
        </w:rPr>
        <w:t>经营型”“农品加工销售型”“农旅融合型”“社会化服务型”“‘三变’改革型”“合作社联合社型”七种类型，从管理运作规范、</w:t>
      </w:r>
      <w:r>
        <w:rPr>
          <w:rFonts w:hint="eastAsia" w:ascii="仿宋_GB2312" w:hAnsi="仿宋_GB2312" w:cs="仿宋_GB2312"/>
          <w:sz w:val="32"/>
          <w:szCs w:val="32"/>
          <w:highlight w:val="none"/>
          <w:lang w:val="en-US" w:eastAsia="zh-CN"/>
        </w:rPr>
        <w:t>发展势头良好、</w:t>
      </w:r>
      <w:r>
        <w:rPr>
          <w:rFonts w:hint="eastAsia" w:ascii="仿宋_GB2312" w:hAnsi="仿宋_GB2312" w:eastAsia="仿宋_GB2312" w:cs="仿宋_GB2312"/>
          <w:strike w:val="0"/>
          <w:dstrike w:val="0"/>
          <w:sz w:val="32"/>
          <w:szCs w:val="32"/>
          <w:highlight w:val="none"/>
          <w:lang w:val="en-US" w:eastAsia="zh-CN"/>
        </w:rPr>
        <w:t>带动农民数量多、</w:t>
      </w:r>
      <w:r>
        <w:rPr>
          <w:rFonts w:hint="eastAsia" w:ascii="仿宋_GB2312" w:hAnsi="仿宋_GB2312" w:eastAsia="仿宋_GB2312" w:cs="仿宋_GB2312"/>
          <w:sz w:val="32"/>
          <w:szCs w:val="32"/>
          <w:highlight w:val="none"/>
          <w:lang w:val="en-US" w:eastAsia="zh-CN"/>
        </w:rPr>
        <w:t>增收作用突出的农民专业合作社中进行筛选和总结提炼。筛选提炼的合作社应为当地行业领域的佼佼者，具有突出的先进性、代表性和示范性。</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1.粮食规模经营型。主要是指</w:t>
      </w:r>
      <w:r>
        <w:rPr>
          <w:rFonts w:hint="default" w:ascii="仿宋_GB2312" w:hAnsi="仿宋_GB2312" w:eastAsia="仿宋_GB2312" w:cs="仿宋_GB2312"/>
          <w:sz w:val="32"/>
          <w:szCs w:val="32"/>
          <w:highlight w:val="none"/>
          <w:lang w:val="en-US" w:eastAsia="zh-CN"/>
        </w:rPr>
        <w:t>有效促进</w:t>
      </w:r>
      <w:r>
        <w:rPr>
          <w:rFonts w:hint="eastAsia" w:ascii="仿宋_GB2312" w:hAnsi="仿宋_GB2312" w:eastAsia="仿宋_GB2312" w:cs="仿宋_GB2312"/>
          <w:sz w:val="32"/>
          <w:szCs w:val="32"/>
          <w:highlight w:val="none"/>
          <w:lang w:val="en-US" w:eastAsia="zh-CN"/>
        </w:rPr>
        <w:t>粮食作物</w:t>
      </w:r>
      <w:r>
        <w:rPr>
          <w:rFonts w:hint="default" w:ascii="仿宋_GB2312" w:hAnsi="仿宋_GB2312" w:eastAsia="仿宋_GB2312" w:cs="仿宋_GB2312"/>
          <w:sz w:val="32"/>
          <w:szCs w:val="32"/>
          <w:highlight w:val="none"/>
          <w:lang w:val="en-US" w:eastAsia="zh-CN"/>
        </w:rPr>
        <w:t>大面积单产提升</w:t>
      </w:r>
      <w:r>
        <w:rPr>
          <w:rFonts w:hint="eastAsia" w:ascii="仿宋_GB2312" w:hAnsi="仿宋_GB2312" w:eastAsia="仿宋_GB2312" w:cs="仿宋_GB2312"/>
          <w:sz w:val="32"/>
          <w:szCs w:val="32"/>
          <w:highlight w:val="none"/>
          <w:lang w:val="en-US" w:eastAsia="zh-CN"/>
        </w:rPr>
        <w:t>或</w:t>
      </w:r>
      <w:r>
        <w:rPr>
          <w:rFonts w:hint="default" w:ascii="仿宋_GB2312" w:hAnsi="仿宋_GB2312" w:eastAsia="仿宋_GB2312" w:cs="仿宋_GB2312"/>
          <w:sz w:val="32"/>
          <w:szCs w:val="32"/>
          <w:highlight w:val="none"/>
          <w:lang w:val="en-US" w:eastAsia="zh-CN"/>
        </w:rPr>
        <w:t>扩大大豆、油料种植面积，</w:t>
      </w:r>
      <w:r>
        <w:rPr>
          <w:rFonts w:hint="eastAsia" w:ascii="仿宋_GB2312" w:hAnsi="仿宋_GB2312" w:eastAsia="仿宋_GB2312" w:cs="仿宋_GB2312"/>
          <w:sz w:val="32"/>
          <w:szCs w:val="32"/>
          <w:highlight w:val="none"/>
          <w:lang w:val="en-US" w:eastAsia="zh-CN"/>
        </w:rPr>
        <w:t>稳定</w:t>
      </w:r>
      <w:r>
        <w:rPr>
          <w:rFonts w:hint="default" w:ascii="仿宋_GB2312" w:hAnsi="仿宋_GB2312" w:eastAsia="仿宋_GB2312" w:cs="仿宋_GB2312"/>
          <w:sz w:val="32"/>
          <w:szCs w:val="32"/>
          <w:highlight w:val="none"/>
          <w:lang w:val="en-US" w:eastAsia="zh-CN"/>
        </w:rPr>
        <w:t>提高</w:t>
      </w:r>
      <w:r>
        <w:rPr>
          <w:rFonts w:hint="eastAsia" w:ascii="仿宋_GB2312" w:hAnsi="仿宋_GB2312" w:eastAsia="仿宋_GB2312" w:cs="仿宋_GB2312"/>
          <w:sz w:val="32"/>
          <w:szCs w:val="32"/>
          <w:highlight w:val="none"/>
          <w:lang w:val="en-US" w:eastAsia="zh-CN"/>
        </w:rPr>
        <w:t>粮食</w:t>
      </w:r>
      <w:r>
        <w:rPr>
          <w:rFonts w:hint="default" w:ascii="仿宋_GB2312" w:hAnsi="仿宋_GB2312" w:eastAsia="仿宋_GB2312" w:cs="仿宋_GB2312"/>
          <w:sz w:val="32"/>
          <w:szCs w:val="32"/>
          <w:highlight w:val="none"/>
          <w:lang w:val="en-US" w:eastAsia="zh-CN"/>
        </w:rPr>
        <w:t>作物生产能力</w:t>
      </w:r>
      <w:r>
        <w:rPr>
          <w:rFonts w:hint="eastAsia" w:ascii="仿宋_GB2312" w:hAnsi="仿宋_GB2312" w:eastAsia="仿宋_GB2312" w:cs="仿宋_GB2312"/>
          <w:sz w:val="32"/>
          <w:szCs w:val="32"/>
          <w:highlight w:val="none"/>
          <w:lang w:val="en-US" w:eastAsia="zh-CN"/>
        </w:rPr>
        <w:t>，在保障国家粮食安全方面表现突出的农民专业合作社</w:t>
      </w:r>
      <w:r>
        <w:rPr>
          <w:rFonts w:hint="default" w:ascii="仿宋_GB2312" w:hAnsi="仿宋_GB2312" w:eastAsia="仿宋_GB2312" w:cs="仿宋_GB2312"/>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2.品牌农业经营型。主要是指</w:t>
      </w:r>
      <w:r>
        <w:rPr>
          <w:rFonts w:hint="default" w:ascii="仿宋_GB2312" w:hAnsi="仿宋_GB2312" w:eastAsia="仿宋_GB2312" w:cs="仿宋_GB2312"/>
          <w:sz w:val="32"/>
          <w:szCs w:val="32"/>
          <w:highlight w:val="none"/>
          <w:lang w:val="en-US" w:eastAsia="zh-CN"/>
        </w:rPr>
        <w:t>走质量兴农之路，</w:t>
      </w:r>
      <w:r>
        <w:rPr>
          <w:rFonts w:hint="eastAsia" w:ascii="仿宋_GB2312" w:hAnsi="仿宋_GB2312" w:eastAsia="仿宋_GB2312" w:cs="仿宋_GB2312"/>
          <w:sz w:val="32"/>
          <w:szCs w:val="32"/>
          <w:highlight w:val="none"/>
          <w:lang w:val="en-US" w:eastAsia="zh-CN"/>
        </w:rPr>
        <w:t>大力推进农业标准化建设，产品通过“三品一标”认证，在促进农业生产由传统生产模式向品牌化、精细化、高附加值方向迈进方面表现突出的农民专业合作社。</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3.农</w:t>
      </w:r>
      <w:r>
        <w:rPr>
          <w:rFonts w:hint="default" w:ascii="仿宋_GB2312" w:hAnsi="仿宋_GB2312" w:eastAsia="仿宋_GB2312" w:cs="仿宋_GB2312"/>
          <w:b w:val="0"/>
          <w:bCs w:val="0"/>
          <w:sz w:val="32"/>
          <w:szCs w:val="32"/>
          <w:highlight w:val="none"/>
          <w:lang w:val="en-US" w:eastAsia="zh-CN"/>
        </w:rPr>
        <w:t>品加工销售型</w:t>
      </w:r>
      <w:r>
        <w:rPr>
          <w:rFonts w:hint="eastAsia" w:ascii="仿宋_GB2312" w:hAnsi="仿宋_GB2312" w:eastAsia="仿宋_GB2312" w:cs="仿宋_GB2312"/>
          <w:b w:val="0"/>
          <w:bCs w:val="0"/>
          <w:sz w:val="32"/>
          <w:szCs w:val="32"/>
          <w:highlight w:val="none"/>
          <w:lang w:val="en-US" w:eastAsia="zh-CN"/>
        </w:rPr>
        <w:t>。主要是指深入</w:t>
      </w:r>
      <w:r>
        <w:rPr>
          <w:rFonts w:hint="eastAsia" w:ascii="仿宋_GB2312" w:hAnsi="仿宋_GB2312" w:eastAsia="仿宋_GB2312" w:cs="仿宋_GB2312"/>
          <w:sz w:val="32"/>
          <w:szCs w:val="32"/>
          <w:highlight w:val="none"/>
          <w:lang w:val="en-US" w:eastAsia="zh-CN"/>
        </w:rPr>
        <w:t>开展多元化经营，积极引进先进的加工技术和设备，大力开发市场所需的新产品，在拉长农业产业链条、拓展农民增收渠道方面表现突出的农民专业合作社。</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w:t>
      </w:r>
      <w:r>
        <w:rPr>
          <w:rFonts w:hint="default" w:ascii="仿宋_GB2312" w:hAnsi="仿宋_GB2312" w:eastAsia="仿宋_GB2312" w:cs="仿宋_GB2312"/>
          <w:b w:val="0"/>
          <w:bCs w:val="0"/>
          <w:sz w:val="32"/>
          <w:szCs w:val="32"/>
          <w:highlight w:val="none"/>
          <w:lang w:val="en-US" w:eastAsia="zh-CN"/>
        </w:rPr>
        <w:t>农旅融合型</w:t>
      </w:r>
      <w:r>
        <w:rPr>
          <w:rFonts w:hint="eastAsia" w:ascii="仿宋_GB2312" w:hAnsi="仿宋_GB2312" w:eastAsia="仿宋_GB2312" w:cs="仿宋_GB2312"/>
          <w:b w:val="0"/>
          <w:bCs w:val="0"/>
          <w:sz w:val="32"/>
          <w:szCs w:val="32"/>
          <w:highlight w:val="none"/>
          <w:lang w:val="en-US" w:eastAsia="zh-CN"/>
        </w:rPr>
        <w:t>。主要是指</w:t>
      </w:r>
      <w:r>
        <w:rPr>
          <w:rFonts w:hint="eastAsia" w:ascii="仿宋_GB2312" w:hAnsi="仿宋_GB2312" w:eastAsia="仿宋_GB2312" w:cs="仿宋_GB2312"/>
          <w:sz w:val="32"/>
          <w:szCs w:val="32"/>
          <w:highlight w:val="none"/>
          <w:lang w:val="en-US" w:eastAsia="zh-CN"/>
        </w:rPr>
        <w:t>整合优势产业资源、优化空间布局、升级农旅功能，加快形成融生态观光、民俗体验、农耕文化、研学教育于一体的乡村文旅生态，在全面促进“农业+旅游”深度融合方面表现突出的农民专业合作社。</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5.社会化</w:t>
      </w:r>
      <w:r>
        <w:rPr>
          <w:rFonts w:hint="default" w:ascii="仿宋_GB2312" w:hAnsi="仿宋_GB2312" w:eastAsia="仿宋_GB2312" w:cs="仿宋_GB2312"/>
          <w:b w:val="0"/>
          <w:bCs w:val="0"/>
          <w:sz w:val="32"/>
          <w:szCs w:val="32"/>
          <w:highlight w:val="none"/>
          <w:lang w:val="en-US" w:eastAsia="zh-CN"/>
        </w:rPr>
        <w:t>服务型</w:t>
      </w:r>
      <w:r>
        <w:rPr>
          <w:rFonts w:hint="eastAsia" w:ascii="仿宋_GB2312" w:hAnsi="仿宋_GB2312" w:eastAsia="仿宋_GB2312" w:cs="仿宋_GB2312"/>
          <w:b w:val="0"/>
          <w:bCs w:val="0"/>
          <w:sz w:val="32"/>
          <w:szCs w:val="32"/>
          <w:highlight w:val="none"/>
          <w:lang w:val="en-US" w:eastAsia="zh-CN"/>
        </w:rPr>
        <w:t>。主要是指</w:t>
      </w:r>
      <w:r>
        <w:rPr>
          <w:rFonts w:hint="eastAsia" w:ascii="仿宋_GB2312" w:hAnsi="仿宋_GB2312" w:eastAsia="仿宋_GB2312" w:cs="仿宋_GB2312"/>
          <w:sz w:val="32"/>
          <w:szCs w:val="32"/>
          <w:highlight w:val="none"/>
          <w:lang w:val="en-US" w:eastAsia="zh-CN"/>
        </w:rPr>
        <w:t>围绕农业产前、产中、产后各环节，探索形成提供农资供应、技术集成、农机作业、仓储物流、市场营销、金融保险等综合性服务的有效模式或解决方案，在健全完善农业生产社会化服务体系方面表现突出的农民专业合作社。</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6.</w:t>
      </w:r>
      <w:r>
        <w:rPr>
          <w:rFonts w:hint="default" w:ascii="仿宋_GB2312" w:hAnsi="仿宋_GB2312" w:eastAsia="仿宋_GB2312" w:cs="仿宋_GB2312"/>
          <w:b w:val="0"/>
          <w:bCs w:val="0"/>
          <w:sz w:val="32"/>
          <w:szCs w:val="32"/>
          <w:highlight w:val="none"/>
          <w:lang w:val="en-US" w:eastAsia="zh-CN"/>
        </w:rPr>
        <w:t>“三变”改革型（“资源变资产、资金变股金、农民变股东”）</w:t>
      </w:r>
      <w:r>
        <w:rPr>
          <w:rFonts w:hint="eastAsia" w:ascii="仿宋_GB2312" w:hAnsi="仿宋_GB2312" w:eastAsia="仿宋_GB2312" w:cs="仿宋_GB2312"/>
          <w:b w:val="0"/>
          <w:bCs w:val="0"/>
          <w:sz w:val="32"/>
          <w:szCs w:val="32"/>
          <w:highlight w:val="none"/>
          <w:lang w:val="en-US" w:eastAsia="zh-CN"/>
        </w:rPr>
        <w:t>。主要是指</w:t>
      </w:r>
      <w:r>
        <w:rPr>
          <w:rFonts w:hint="eastAsia" w:ascii="仿宋_GB2312" w:hAnsi="仿宋_GB2312" w:eastAsia="仿宋_GB2312" w:cs="仿宋_GB2312"/>
          <w:sz w:val="32"/>
          <w:szCs w:val="32"/>
          <w:highlight w:val="none"/>
          <w:lang w:val="en-US" w:eastAsia="zh-CN"/>
        </w:rPr>
        <w:t>以土地等资源资产以及各类资金出资入社，激发农村资源活力，在盘活农村发展要素、增加农民财产性收入方面表现突出的农民专业合作社。</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7.</w:t>
      </w:r>
      <w:r>
        <w:rPr>
          <w:rFonts w:hint="default" w:ascii="仿宋_GB2312" w:hAnsi="仿宋_GB2312" w:eastAsia="仿宋_GB2312" w:cs="仿宋_GB2312"/>
          <w:b w:val="0"/>
          <w:bCs w:val="0"/>
          <w:sz w:val="32"/>
          <w:szCs w:val="32"/>
          <w:highlight w:val="none"/>
          <w:lang w:val="en-US" w:eastAsia="zh-CN"/>
        </w:rPr>
        <w:t>合作社联合社型</w:t>
      </w:r>
      <w:r>
        <w:rPr>
          <w:rFonts w:hint="eastAsia" w:ascii="仿宋_GB2312" w:hAnsi="仿宋_GB2312" w:eastAsia="仿宋_GB2312" w:cs="仿宋_GB2312"/>
          <w:b w:val="0"/>
          <w:bCs w:val="0"/>
          <w:sz w:val="32"/>
          <w:szCs w:val="32"/>
          <w:highlight w:val="none"/>
          <w:lang w:val="en-US" w:eastAsia="zh-CN"/>
        </w:rPr>
        <w:t>。主要是指</w:t>
      </w:r>
      <w:r>
        <w:rPr>
          <w:rFonts w:hint="default" w:ascii="仿宋_GB2312" w:hAnsi="仿宋_GB2312" w:eastAsia="仿宋_GB2312" w:cs="仿宋_GB2312"/>
          <w:sz w:val="32"/>
          <w:szCs w:val="32"/>
          <w:highlight w:val="none"/>
          <w:lang w:val="en-US" w:eastAsia="zh-CN"/>
        </w:rPr>
        <w:t>依法自愿</w:t>
      </w:r>
      <w:r>
        <w:rPr>
          <w:rFonts w:hint="eastAsia" w:ascii="仿宋_GB2312" w:hAnsi="仿宋_GB2312" w:eastAsia="仿宋_GB2312" w:cs="仿宋_GB2312"/>
          <w:sz w:val="32"/>
          <w:szCs w:val="32"/>
          <w:highlight w:val="none"/>
          <w:lang w:val="en-US" w:eastAsia="zh-CN"/>
        </w:rPr>
        <w:t>进行横向或纵向联合</w:t>
      </w:r>
      <w:r>
        <w:rPr>
          <w:rFonts w:hint="default" w:ascii="仿宋_GB2312" w:hAnsi="仿宋_GB2312" w:eastAsia="仿宋_GB2312" w:cs="仿宋_GB2312"/>
          <w:sz w:val="32"/>
          <w:szCs w:val="32"/>
          <w:highlight w:val="none"/>
          <w:lang w:val="en-US" w:eastAsia="zh-CN"/>
        </w:rPr>
        <w:t>组建联合社</w:t>
      </w:r>
      <w:r>
        <w:rPr>
          <w:rFonts w:hint="eastAsia" w:ascii="仿宋_GB2312" w:hAnsi="仿宋_GB2312" w:eastAsia="仿宋_GB2312" w:cs="仿宋_GB2312"/>
          <w:sz w:val="32"/>
          <w:szCs w:val="32"/>
          <w:highlight w:val="none"/>
          <w:lang w:val="en-US" w:eastAsia="zh-CN"/>
        </w:rPr>
        <w:t>，实现资本、劳务、技术、品牌和营销的联合与合作，在促进各合作社之间优势互补、资源共享方面表现突出的农民专业合作社联合社。</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（二）推荐上报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各区市农业农村局在规定时间内，以正式文件的形式将总结提炼的典型案例上报市农业农村局。</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firstLine="640" w:firstLineChars="200"/>
        <w:jc w:val="left"/>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专家评定</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市农业农村局组织种植、林业、畜牧、农机等方面的专家，对各区市上报典型案例进行评审，并经公示后最终确定“百佳示范”行动典型案例名单。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三、有关要求</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（一）加强组织领导。</w:t>
      </w:r>
      <w:r>
        <w:rPr>
          <w:rFonts w:hint="eastAsia" w:ascii="仿宋_GB2312" w:hAnsi="仿宋_GB2312" w:eastAsia="仿宋_GB2312" w:cs="仿宋_GB2312"/>
          <w:sz w:val="32"/>
          <w:szCs w:val="32"/>
          <w:highlight w:val="none"/>
          <w:lang w:val="en-US" w:eastAsia="zh-CN"/>
        </w:rPr>
        <w:t>各区市农业农村局要高度重视典型案例征集工作，明确一名分管领导具体负责，并抽调业务骨干成立专门工作小组，对当地的典型农民专业合作社进行认真筛选，深入分析总结合作社的发展路径和成效，组织起草高质量文字材料。每个区市筛选的合作社典型案例要涵盖</w:t>
      </w:r>
      <w:r>
        <w:rPr>
          <w:rFonts w:hint="eastAsia" w:ascii="仿宋_GB2312" w:hAnsi="仿宋_GB2312" w:cs="仿宋_GB2312"/>
          <w:sz w:val="32"/>
          <w:szCs w:val="32"/>
          <w:highlight w:val="none"/>
          <w:lang w:val="en-US" w:eastAsia="zh-CN"/>
        </w:rPr>
        <w:t>尽可能多的</w:t>
      </w:r>
      <w:r>
        <w:rPr>
          <w:rFonts w:hint="eastAsia" w:ascii="仿宋_GB2312" w:hAnsi="仿宋_GB2312" w:eastAsia="仿宋_GB2312" w:cs="仿宋_GB2312"/>
          <w:sz w:val="32"/>
          <w:szCs w:val="32"/>
          <w:highlight w:val="none"/>
          <w:lang w:val="en-US" w:eastAsia="zh-CN"/>
        </w:rPr>
        <w:t>类型。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（二）确保案例质量。</w:t>
      </w:r>
      <w:r>
        <w:rPr>
          <w:rFonts w:hint="eastAsia" w:ascii="仿宋_GB2312" w:hAnsi="仿宋_GB2312" w:eastAsia="仿宋_GB2312" w:cs="仿宋_GB2312"/>
          <w:sz w:val="32"/>
          <w:szCs w:val="32"/>
          <w:highlight w:val="none"/>
          <w:lang w:val="en-US" w:eastAsia="zh-CN"/>
        </w:rPr>
        <w:t>典型案例材料应内容真实准确、文字表达流畅，经验总结准确深刻，既要用数据说话，又要有具体事例</w:t>
      </w:r>
      <w:r>
        <w:rPr>
          <w:rFonts w:hint="eastAsia" w:ascii="仿宋_GB2312" w:hAnsi="仿宋_GB2312" w:cs="仿宋_GB2312"/>
          <w:sz w:val="32"/>
          <w:szCs w:val="32"/>
          <w:highlight w:val="none"/>
          <w:lang w:val="en-US" w:eastAsia="zh-CN"/>
        </w:rPr>
        <w:t>，字数一般不少于3000字</w:t>
      </w:r>
      <w:r>
        <w:rPr>
          <w:rFonts w:hint="eastAsia" w:ascii="仿宋_GB2312" w:hAnsi="仿宋_GB2312" w:eastAsia="仿宋_GB2312" w:cs="仿宋_GB2312"/>
          <w:sz w:val="32"/>
          <w:szCs w:val="32"/>
          <w:highlight w:val="none"/>
          <w:lang w:val="en-US" w:eastAsia="zh-CN"/>
        </w:rPr>
        <w:t>。要注重挖掘典型案例的独特性，聚焦一种类型，避免泛泛而谈、面面俱到。材料的内容结构应包括主体基本情况、具体做法、成效经验等，且应包括具体成员构成、治理结构、运营机制、盈余分配方式等内容。各区市筛选的农民专业合作社应遵纪守法、诚实守信，近三年内无重大违法违规记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（三）加强宣传推广。</w:t>
      </w:r>
      <w:r>
        <w:rPr>
          <w:rFonts w:hint="eastAsia" w:ascii="仿宋_GB2312" w:hAnsi="仿宋_GB2312" w:eastAsia="仿宋_GB2312" w:cs="仿宋_GB2312"/>
          <w:sz w:val="32"/>
          <w:szCs w:val="32"/>
          <w:highlight w:val="none"/>
          <w:lang w:val="en-US" w:eastAsia="zh-CN"/>
        </w:rPr>
        <w:t>市农业农村局将把案例汇编成册，在各个层级、多个渠道进行宣传推介。对案例所涉及的农民专业合作社和带头人，市局将优先推荐参加“新农人”“百村百品”等宣推活动。各区市也要对推荐的农民专业合作社采取多种方式进行宣传，特别是在广大农村进行广泛推介，真正把合作社好的发展经验传授给广大新型农业经营主体和农民，使他们在发展生产中学有标准、做有方向。</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（四）及时规范上报。</w:t>
      </w:r>
      <w:r>
        <w:rPr>
          <w:rFonts w:hint="default" w:ascii="仿宋_GB2312" w:hAnsi="仿宋_GB2312" w:eastAsia="仿宋_GB2312" w:cs="仿宋_GB2312"/>
          <w:sz w:val="32"/>
          <w:szCs w:val="32"/>
          <w:highlight w:val="none"/>
          <w:lang w:val="en-US" w:eastAsia="zh-CN"/>
        </w:rPr>
        <w:t>各</w:t>
      </w:r>
      <w:r>
        <w:rPr>
          <w:rFonts w:hint="eastAsia" w:ascii="仿宋_GB2312" w:hAnsi="仿宋_GB2312" w:eastAsia="仿宋_GB2312" w:cs="仿宋_GB2312"/>
          <w:sz w:val="32"/>
          <w:szCs w:val="32"/>
          <w:highlight w:val="none"/>
          <w:lang w:val="en-US" w:eastAsia="zh-CN"/>
        </w:rPr>
        <w:t>区</w:t>
      </w:r>
      <w:r>
        <w:rPr>
          <w:rFonts w:hint="default" w:ascii="仿宋_GB2312" w:hAnsi="仿宋_GB2312" w:eastAsia="仿宋_GB2312" w:cs="仿宋_GB2312"/>
          <w:sz w:val="32"/>
          <w:szCs w:val="32"/>
          <w:highlight w:val="none"/>
          <w:lang w:val="en-US" w:eastAsia="zh-CN"/>
        </w:rPr>
        <w:t>市农业农村</w:t>
      </w:r>
      <w:r>
        <w:rPr>
          <w:rFonts w:hint="eastAsia" w:ascii="仿宋_GB2312" w:hAnsi="仿宋_GB2312" w:cs="仿宋_GB2312"/>
          <w:sz w:val="32"/>
          <w:szCs w:val="32"/>
          <w:highlight w:val="none"/>
          <w:lang w:val="en-US" w:eastAsia="zh-CN"/>
        </w:rPr>
        <w:t>局</w:t>
      </w:r>
      <w:r>
        <w:rPr>
          <w:rFonts w:hint="default" w:ascii="仿宋_GB2312" w:hAnsi="仿宋_GB2312" w:eastAsia="仿宋_GB2312" w:cs="仿宋_GB2312"/>
          <w:sz w:val="32"/>
          <w:szCs w:val="32"/>
          <w:highlight w:val="none"/>
          <w:lang w:val="en-US" w:eastAsia="zh-CN"/>
        </w:rPr>
        <w:t>统一组织</w:t>
      </w:r>
      <w:r>
        <w:rPr>
          <w:rFonts w:hint="eastAsia" w:ascii="仿宋_GB2312" w:hAnsi="仿宋_GB2312" w:eastAsia="仿宋_GB2312" w:cs="仿宋_GB2312"/>
          <w:sz w:val="32"/>
          <w:szCs w:val="32"/>
          <w:highlight w:val="none"/>
          <w:lang w:val="en-US" w:eastAsia="zh-CN"/>
        </w:rPr>
        <w:t>典型案例材料的上报，并</w:t>
      </w:r>
      <w:r>
        <w:rPr>
          <w:rFonts w:hint="default" w:ascii="仿宋_GB2312" w:hAnsi="仿宋_GB2312" w:eastAsia="仿宋_GB2312" w:cs="仿宋_GB2312"/>
          <w:sz w:val="32"/>
          <w:szCs w:val="32"/>
          <w:highlight w:val="none"/>
          <w:lang w:val="en-US" w:eastAsia="zh-CN"/>
        </w:rPr>
        <w:t>选送与案例主题密切相关的电子照片3</w:t>
      </w:r>
      <w:r>
        <w:rPr>
          <w:rFonts w:hint="eastAsia" w:ascii="仿宋_GB2312" w:hAnsi="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4张，附以简要说明</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照片格式为JPG，单张照片不小于3M。</w:t>
      </w:r>
      <w:r>
        <w:rPr>
          <w:rFonts w:hint="eastAsia" w:ascii="仿宋_GB2312" w:hAnsi="仿宋_GB2312" w:eastAsia="仿宋_GB2312" w:cs="仿宋_GB2312"/>
          <w:sz w:val="32"/>
          <w:szCs w:val="32"/>
          <w:highlight w:val="none"/>
          <w:lang w:val="en-US" w:eastAsia="zh-CN"/>
        </w:rPr>
        <w:t>各区市要</w:t>
      </w:r>
      <w:r>
        <w:rPr>
          <w:rFonts w:hint="default" w:ascii="仿宋_GB2312" w:hAnsi="仿宋_GB2312" w:eastAsia="仿宋_GB2312" w:cs="仿宋_GB2312"/>
          <w:sz w:val="32"/>
          <w:szCs w:val="32"/>
          <w:highlight w:val="none"/>
          <w:lang w:val="en-US" w:eastAsia="zh-CN"/>
        </w:rPr>
        <w:t>于</w:t>
      </w:r>
      <w:r>
        <w:rPr>
          <w:rFonts w:hint="eastAsia" w:ascii="仿宋_GB2312" w:hAnsi="仿宋_GB2312" w:cs="仿宋_GB2312"/>
          <w:sz w:val="32"/>
          <w:szCs w:val="32"/>
          <w:highlight w:val="none"/>
          <w:lang w:val="en-US" w:eastAsia="zh-CN"/>
        </w:rPr>
        <w:t>6</w:t>
      </w:r>
      <w:r>
        <w:rPr>
          <w:rFonts w:hint="default" w:ascii="仿宋_GB2312" w:hAnsi="仿宋_GB2312" w:eastAsia="仿宋_GB2312" w:cs="仿宋_GB2312"/>
          <w:sz w:val="32"/>
          <w:szCs w:val="32"/>
          <w:highlight w:val="none"/>
          <w:lang w:val="en-US" w:eastAsia="zh-CN"/>
        </w:rPr>
        <w:t>月</w:t>
      </w:r>
      <w:r>
        <w:rPr>
          <w:rFonts w:hint="eastAsia" w:ascii="仿宋_GB2312" w:hAnsi="仿宋_GB2312" w:cs="仿宋_GB2312"/>
          <w:sz w:val="32"/>
          <w:szCs w:val="32"/>
          <w:highlight w:val="none"/>
          <w:lang w:val="en-US" w:eastAsia="zh-CN"/>
        </w:rPr>
        <w:t>30</w:t>
      </w:r>
      <w:r>
        <w:rPr>
          <w:rFonts w:hint="default" w:ascii="仿宋_GB2312" w:hAnsi="仿宋_GB2312" w:eastAsia="仿宋_GB2312" w:cs="仿宋_GB2312"/>
          <w:sz w:val="32"/>
          <w:szCs w:val="32"/>
          <w:highlight w:val="none"/>
          <w:lang w:val="en-US" w:eastAsia="zh-CN"/>
        </w:rPr>
        <w:t>日前</w:t>
      </w:r>
      <w:r>
        <w:rPr>
          <w:rFonts w:hint="eastAsia" w:ascii="仿宋_GB2312" w:hAnsi="仿宋_GB2312" w:eastAsia="仿宋_GB2312" w:cs="仿宋_GB2312"/>
          <w:sz w:val="32"/>
          <w:szCs w:val="32"/>
          <w:highlight w:val="none"/>
          <w:lang w:val="en-US" w:eastAsia="zh-CN"/>
        </w:rPr>
        <w:t>将</w:t>
      </w:r>
      <w:r>
        <w:rPr>
          <w:rFonts w:hint="default" w:ascii="仿宋_GB2312" w:hAnsi="仿宋_GB2312" w:eastAsia="仿宋_GB2312" w:cs="仿宋_GB2312"/>
          <w:sz w:val="32"/>
          <w:szCs w:val="32"/>
          <w:highlight w:val="none"/>
          <w:lang w:val="en-US" w:eastAsia="zh-CN"/>
        </w:rPr>
        <w:t>典型案例</w:t>
      </w:r>
      <w:r>
        <w:rPr>
          <w:rFonts w:hint="eastAsia" w:ascii="仿宋_GB2312" w:hAnsi="仿宋_GB2312" w:eastAsia="仿宋_GB2312" w:cs="仿宋_GB2312"/>
          <w:sz w:val="32"/>
          <w:szCs w:val="32"/>
          <w:highlight w:val="none"/>
          <w:lang w:val="en-US" w:eastAsia="zh-CN"/>
        </w:rPr>
        <w:t>材料</w:t>
      </w:r>
      <w:r>
        <w:rPr>
          <w:rFonts w:hint="default" w:ascii="仿宋_GB2312" w:hAnsi="仿宋_GB2312" w:eastAsia="仿宋_GB2312" w:cs="仿宋_GB2312"/>
          <w:sz w:val="32"/>
          <w:szCs w:val="32"/>
          <w:highlight w:val="none"/>
          <w:lang w:val="en-US" w:eastAsia="zh-CN"/>
        </w:rPr>
        <w:t>报送</w:t>
      </w:r>
      <w:r>
        <w:rPr>
          <w:rFonts w:hint="eastAsia" w:ascii="仿宋_GB2312" w:hAnsi="仿宋_GB2312" w:eastAsia="仿宋_GB2312" w:cs="仿宋_GB2312"/>
          <w:sz w:val="32"/>
          <w:szCs w:val="32"/>
          <w:highlight w:val="none"/>
          <w:lang w:val="en-US" w:eastAsia="zh-CN"/>
        </w:rPr>
        <w:t>市农业农村局</w:t>
      </w:r>
      <w:r>
        <w:rPr>
          <w:rFonts w:hint="default" w:ascii="仿宋_GB2312" w:hAnsi="仿宋_GB2312" w:eastAsia="仿宋_GB2312" w:cs="仿宋_GB2312"/>
          <w:sz w:val="32"/>
          <w:szCs w:val="32"/>
          <w:highlight w:val="none"/>
          <w:lang w:val="en-US" w:eastAsia="zh-CN"/>
        </w:rPr>
        <w:t>，</w:t>
      </w:r>
      <w:r>
        <w:rPr>
          <w:rFonts w:hint="eastAsia" w:ascii="仿宋_GB2312" w:hAnsi="仿宋_GB2312" w:cs="仿宋_GB2312"/>
          <w:sz w:val="32"/>
          <w:szCs w:val="32"/>
          <w:highlight w:val="none"/>
          <w:lang w:val="en-US" w:eastAsia="zh-CN"/>
        </w:rPr>
        <w:t>典型案例任务数不足5个的区市全部报送，超过5个的区市2024年至少报送50%任务数，剩余案例要于2025年6月底前报送。</w:t>
      </w:r>
      <w:r>
        <w:rPr>
          <w:rFonts w:hint="eastAsia" w:ascii="仿宋_GB2312" w:hAnsi="仿宋_GB2312" w:eastAsia="仿宋_GB2312" w:cs="仿宋_GB2312"/>
          <w:sz w:val="32"/>
          <w:szCs w:val="32"/>
          <w:highlight w:val="none"/>
          <w:lang w:val="en-US" w:eastAsia="zh-CN"/>
        </w:rPr>
        <w:t>文字材料</w:t>
      </w:r>
      <w:r>
        <w:rPr>
          <w:rFonts w:hint="default" w:ascii="仿宋_GB2312" w:hAnsi="仿宋_GB2312" w:eastAsia="仿宋_GB2312" w:cs="仿宋_GB2312"/>
          <w:sz w:val="32"/>
          <w:szCs w:val="32"/>
          <w:highlight w:val="none"/>
          <w:lang w:val="en-US" w:eastAsia="zh-CN"/>
        </w:rPr>
        <w:t>文件命名为“</w:t>
      </w:r>
      <w:r>
        <w:rPr>
          <w:rFonts w:hint="eastAsia" w:ascii="仿宋_GB2312" w:hAnsi="仿宋_GB2312" w:eastAsia="仿宋_GB2312" w:cs="仿宋_GB2312"/>
          <w:sz w:val="32"/>
          <w:szCs w:val="32"/>
          <w:highlight w:val="none"/>
          <w:lang w:val="en-US" w:eastAsia="zh-CN"/>
        </w:rPr>
        <w:t>区市</w:t>
      </w:r>
      <w:r>
        <w:rPr>
          <w:rFonts w:hint="default" w:ascii="仿宋_GB2312" w:hAnsi="仿宋_GB2312" w:eastAsia="仿宋_GB2312" w:cs="仿宋_GB2312"/>
          <w:sz w:val="32"/>
          <w:szCs w:val="32"/>
          <w:highlight w:val="none"/>
          <w:lang w:val="en-US" w:eastAsia="zh-CN"/>
        </w:rPr>
        <w:t>+案例主体名称”</w:t>
      </w:r>
      <w:r>
        <w:rPr>
          <w:rFonts w:hint="eastAsia" w:ascii="仿宋_GB2312" w:hAnsi="仿宋_GB2312" w:eastAsia="仿宋_GB2312" w:cs="仿宋_GB2312"/>
          <w:sz w:val="32"/>
          <w:szCs w:val="32"/>
          <w:highlight w:val="none"/>
          <w:lang w:val="en-US" w:eastAsia="zh-CN"/>
        </w:rPr>
        <w:t>，照片文件命名为“区市</w:t>
      </w:r>
      <w:r>
        <w:rPr>
          <w:rFonts w:hint="default" w:ascii="仿宋_GB2312" w:hAnsi="仿宋_GB2312" w:eastAsia="仿宋_GB2312" w:cs="仿宋_GB2312"/>
          <w:sz w:val="32"/>
          <w:szCs w:val="32"/>
          <w:highlight w:val="none"/>
          <w:lang w:val="en-US" w:eastAsia="zh-CN"/>
        </w:rPr>
        <w:t>+案例主体名称</w:t>
      </w:r>
      <w:r>
        <w:rPr>
          <w:rFonts w:hint="eastAsia" w:ascii="仿宋_GB2312" w:hAnsi="仿宋_GB2312" w:eastAsia="仿宋_GB2312" w:cs="仿宋_GB2312"/>
          <w:sz w:val="32"/>
          <w:szCs w:val="32"/>
          <w:highlight w:val="none"/>
          <w:lang w:val="en-US" w:eastAsia="zh-CN"/>
        </w:rPr>
        <w:t>1（或2</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3，4）”</w:t>
      </w:r>
      <w:r>
        <w:rPr>
          <w:rFonts w:hint="default" w:ascii="仿宋_GB2312" w:hAnsi="仿宋_GB2312" w:eastAsia="仿宋_GB2312" w:cs="仿宋_GB231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联系人及电话：</w:t>
      </w:r>
      <w:r>
        <w:rPr>
          <w:rFonts w:hint="eastAsia" w:ascii="仿宋_GB2312" w:hAnsi="仿宋_GB2312" w:eastAsia="仿宋_GB2312" w:cs="仿宋_GB2312"/>
          <w:sz w:val="32"/>
          <w:szCs w:val="32"/>
          <w:highlight w:val="none"/>
          <w:lang w:val="en-US" w:eastAsia="zh-CN"/>
        </w:rPr>
        <w:t>柳盛才 丁丽娜，4914791</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电子邮箱：</w:t>
      </w:r>
      <w:r>
        <w:rPr>
          <w:rFonts w:hint="eastAsia" w:ascii="仿宋_GB2312" w:hAnsi="仿宋_GB2312" w:eastAsia="仿宋_GB2312" w:cs="仿宋_GB2312"/>
          <w:sz w:val="32"/>
          <w:szCs w:val="32"/>
          <w:highlight w:val="none"/>
          <w:lang w:val="en-US" w:eastAsia="zh-CN"/>
        </w:rPr>
        <w:fldChar w:fldCharType="begin"/>
      </w:r>
      <w:r>
        <w:rPr>
          <w:rFonts w:hint="eastAsia" w:ascii="仿宋_GB2312" w:hAnsi="仿宋_GB2312" w:eastAsia="仿宋_GB2312" w:cs="仿宋_GB2312"/>
          <w:sz w:val="32"/>
          <w:szCs w:val="32"/>
          <w:highlight w:val="none"/>
          <w:lang w:val="en-US" w:eastAsia="zh-CN"/>
        </w:rPr>
        <w:instrText xml:space="preserve"> HYPERLINK "mailto:ytsjgz@yt.shandong.cn" </w:instrText>
      </w:r>
      <w:r>
        <w:rPr>
          <w:rFonts w:hint="eastAsia" w:ascii="仿宋_GB2312" w:hAnsi="仿宋_GB2312" w:eastAsia="仿宋_GB2312" w:cs="仿宋_GB2312"/>
          <w:sz w:val="32"/>
          <w:szCs w:val="32"/>
          <w:highlight w:val="none"/>
          <w:lang w:val="en-US" w:eastAsia="zh-CN"/>
        </w:rPr>
        <w:fldChar w:fldCharType="separate"/>
      </w:r>
      <w:r>
        <w:rPr>
          <w:rFonts w:hint="eastAsia" w:ascii="仿宋_GB2312" w:hAnsi="仿宋_GB2312" w:eastAsia="仿宋_GB2312" w:cs="仿宋_GB2312"/>
          <w:sz w:val="32"/>
          <w:szCs w:val="32"/>
          <w:highlight w:val="none"/>
          <w:lang w:val="en-US" w:eastAsia="zh-CN"/>
        </w:rPr>
        <w:t>ytsjgz@yt.shandong.cn</w:t>
      </w:r>
      <w:r>
        <w:rPr>
          <w:rFonts w:hint="eastAsia" w:ascii="仿宋_GB2312" w:hAnsi="仿宋_GB2312" w:eastAsia="仿宋_GB2312" w:cs="仿宋_GB2312"/>
          <w:sz w:val="32"/>
          <w:szCs w:val="32"/>
          <w:highlight w:val="none"/>
          <w:lang w:val="en-US" w:eastAsia="zh-CN"/>
        </w:rPr>
        <w:fldChar w:fldCharType="end"/>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Nimbus Roman No9 L">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2F735E"/>
    <w:multiLevelType w:val="singleLevel"/>
    <w:tmpl w:val="D62F735E"/>
    <w:lvl w:ilvl="0" w:tentative="0">
      <w:start w:val="1"/>
      <w:numFmt w:val="chineseCounting"/>
      <w:suff w:val="nothing"/>
      <w:lvlText w:val="%1、"/>
      <w:lvlJc w:val="left"/>
      <w:rPr>
        <w:rFonts w:hint="eastAsia"/>
      </w:rPr>
    </w:lvl>
  </w:abstractNum>
  <w:abstractNum w:abstractNumId="1">
    <w:nsid w:val="DD1A96C0"/>
    <w:multiLevelType w:val="singleLevel"/>
    <w:tmpl w:val="DD1A96C0"/>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4A1947CF"/>
    <w:rsid w:val="FF6FA0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spacing w:after="120"/>
      <w:ind w:left="420" w:leftChars="200" w:firstLine="210" w:firstLineChars="200"/>
    </w:pPr>
    <w:rPr>
      <w:rFonts w:ascii="Times New Roman" w:eastAsia="宋体"/>
      <w:sz w:val="21"/>
      <w:szCs w:val="24"/>
    </w:rPr>
  </w:style>
  <w:style w:type="paragraph" w:styleId="3">
    <w:name w:val="Body Text Indent"/>
    <w:basedOn w:val="1"/>
    <w:next w:val="4"/>
    <w:qFormat/>
    <w:uiPriority w:val="0"/>
    <w:pPr>
      <w:ind w:firstLine="630"/>
    </w:pPr>
    <w:rPr>
      <w:rFonts w:ascii="仿宋_GB2312" w:eastAsia="仿宋_GB2312"/>
      <w:sz w:val="32"/>
    </w:rPr>
  </w:style>
  <w:style w:type="paragraph" w:styleId="4">
    <w:name w:val="Normal Indent"/>
    <w:basedOn w:val="1"/>
    <w:next w:val="1"/>
    <w:qFormat/>
    <w:uiPriority w:val="0"/>
    <w:pPr>
      <w:ind w:firstLine="420"/>
    </w:pPr>
  </w:style>
  <w:style w:type="paragraph" w:styleId="5">
    <w:name w:val="Body Text First Indent"/>
    <w:basedOn w:val="6"/>
    <w:qFormat/>
    <w:uiPriority w:val="0"/>
    <w:pPr>
      <w:spacing w:after="120"/>
      <w:ind w:firstLine="420" w:firstLineChars="100"/>
      <w:jc w:val="both"/>
    </w:pPr>
    <w:rPr>
      <w:b w:val="0"/>
      <w:bCs w:val="0"/>
      <w:sz w:val="21"/>
    </w:rPr>
  </w:style>
  <w:style w:type="paragraph" w:styleId="6">
    <w:name w:val="Body Text"/>
    <w:basedOn w:val="1"/>
    <w:next w:val="1"/>
    <w:qFormat/>
    <w:uiPriority w:val="0"/>
    <w:pPr>
      <w:jc w:val="center"/>
    </w:pPr>
    <w:rPr>
      <w:b/>
      <w:bCs/>
      <w:sz w:val="4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2018-07-11T15:11:00Z</dcterms:created>
  <dc:creator>d</dc:creator>
  <cp:lastModifiedBy>user</cp:lastModifiedBy>
  <dcterms:modified xsi:type="dcterms:W3CDTF">2024-03-13T17:14:24Z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